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A7" w:rsidRDefault="00FD65A7" w:rsidP="00F92AF8">
      <w:pPr>
        <w:pStyle w:val="Heading1"/>
        <w:spacing w:before="0"/>
        <w:jc w:val="center"/>
        <w:rPr>
          <w:rFonts w:ascii="Arial" w:hAnsi="Arial" w:cs="Arial"/>
          <w:b w:val="0"/>
          <w:color w:val="auto"/>
          <w:lang w:val="fr-CA"/>
        </w:rPr>
      </w:pPr>
      <w:r>
        <w:rPr>
          <w:noProof/>
          <w:lang w:eastAsia="en-CA"/>
        </w:rPr>
        <w:drawing>
          <wp:inline distT="0" distB="0" distL="0" distR="0" wp14:anchorId="4A67FEF2" wp14:editId="7BCEE585">
            <wp:extent cx="3091815" cy="657225"/>
            <wp:effectExtent l="0" t="0" r="0" b="9525"/>
            <wp:docPr id="3" name="Picture 3" descr="cid:BB9203D2-B31D-4A1E-ABCB-3E5B4E77CCD8@phub.net.cable.rogers.com"/>
            <wp:cNvGraphicFramePr/>
            <a:graphic xmlns:a="http://schemas.openxmlformats.org/drawingml/2006/main">
              <a:graphicData uri="http://schemas.openxmlformats.org/drawingml/2006/picture">
                <pic:pic xmlns:pic="http://schemas.openxmlformats.org/drawingml/2006/picture">
                  <pic:nvPicPr>
                    <pic:cNvPr id="1" name="Picture 1" descr="cid:BB9203D2-B31D-4A1E-ABCB-3E5B4E77CCD8@phub.net.cable.rogers.com"/>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91815" cy="657225"/>
                    </a:xfrm>
                    <a:prstGeom prst="rect">
                      <a:avLst/>
                    </a:prstGeom>
                    <a:noFill/>
                    <a:ln>
                      <a:noFill/>
                    </a:ln>
                  </pic:spPr>
                </pic:pic>
              </a:graphicData>
            </a:graphic>
          </wp:inline>
        </w:drawing>
      </w:r>
    </w:p>
    <w:p w:rsidR="00D06344" w:rsidRPr="005C7125" w:rsidRDefault="005C7125" w:rsidP="00F92AF8">
      <w:pPr>
        <w:pStyle w:val="Heading1"/>
        <w:spacing w:before="0"/>
        <w:jc w:val="center"/>
        <w:rPr>
          <w:rFonts w:ascii="Arial" w:hAnsi="Arial" w:cs="Arial"/>
          <w:color w:val="auto"/>
          <w:lang w:val="fr-CA"/>
        </w:rPr>
      </w:pPr>
      <w:bookmarkStart w:id="0" w:name="_GoBack"/>
      <w:bookmarkEnd w:id="0"/>
      <w:r w:rsidRPr="005C7125">
        <w:rPr>
          <w:rFonts w:ascii="Arial" w:hAnsi="Arial" w:cs="Arial"/>
          <w:color w:val="auto"/>
          <w:lang w:val="fr-CA"/>
        </w:rPr>
        <w:t xml:space="preserve">Exemple </w:t>
      </w:r>
    </w:p>
    <w:p w:rsidR="00833044" w:rsidRPr="005C7125" w:rsidRDefault="00B24A58" w:rsidP="00D06344">
      <w:pPr>
        <w:pStyle w:val="Heading1"/>
        <w:spacing w:before="0"/>
        <w:jc w:val="center"/>
        <w:rPr>
          <w:rFonts w:ascii="Arial" w:hAnsi="Arial" w:cs="Arial"/>
          <w:color w:val="auto"/>
          <w:lang w:val="fr-CA"/>
        </w:rPr>
      </w:pPr>
      <w:r>
        <w:rPr>
          <w:rFonts w:ascii="Arial" w:hAnsi="Arial" w:cs="Arial"/>
          <w:color w:val="auto"/>
          <w:lang w:val="fr-CA"/>
        </w:rPr>
        <w:t xml:space="preserve">Énoncé de politique sur les normes d’accessibilité </w:t>
      </w:r>
    </w:p>
    <w:p w:rsidR="00833044" w:rsidRPr="005C7125" w:rsidRDefault="00CA63A5" w:rsidP="00833044">
      <w:pPr>
        <w:tabs>
          <w:tab w:val="left" w:pos="2422"/>
        </w:tabs>
        <w:rPr>
          <w:lang w:val="fr-CA"/>
        </w:rP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17780</wp:posOffset>
                </wp:positionH>
                <wp:positionV relativeFrom="paragraph">
                  <wp:posOffset>128270</wp:posOffset>
                </wp:positionV>
                <wp:extent cx="5730875" cy="0"/>
                <wp:effectExtent l="27305" t="23495" r="23495" b="241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4pt;margin-top:10.1pt;width:45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" strokecolor="#f2f2f2" strokeweight="3pt">
                <v:shadow color="#622423" opacity=".5" offset="1pt"/>
              </v:shape>
            </w:pict>
          </mc:Fallback>
        </mc:AlternateContent>
      </w:r>
      <w:r>
        <w:rPr>
          <w:noProof/>
          <w:lang w:eastAsia="en-CA"/>
        </w:rPr>
        <mc:AlternateContent>
          <mc:Choice Requires="wps">
            <w:drawing>
              <wp:anchor distT="0" distB="0" distL="114300" distR="114300" simplePos="0" relativeHeight="251657216" behindDoc="0" locked="0" layoutInCell="1" allowOverlap="1">
                <wp:simplePos x="0" y="0"/>
                <wp:positionH relativeFrom="column">
                  <wp:posOffset>-23495</wp:posOffset>
                </wp:positionH>
                <wp:positionV relativeFrom="paragraph">
                  <wp:posOffset>128270</wp:posOffset>
                </wp:positionV>
                <wp:extent cx="5864860" cy="0"/>
                <wp:effectExtent l="24130" t="23495" r="26035" b="241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85pt;margin-top:10.1pt;width:461.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" strokecolor="#f2f2f2" strokeweight="3pt">
                <v:shadow color="#622423" opacity=".5" offset="1pt"/>
              </v:shape>
            </w:pict>
          </mc:Fallback>
        </mc:AlternateContent>
      </w:r>
    </w:p>
    <w:p w:rsidR="009E262A" w:rsidRPr="005C7125" w:rsidRDefault="00B24A58" w:rsidP="00CC4159">
      <w:pPr>
        <w:spacing w:after="100"/>
        <w:rPr>
          <w:rFonts w:ascii="Arial" w:hAnsi="Arial" w:cs="Arial"/>
          <w:b/>
          <w:sz w:val="28"/>
          <w:szCs w:val="28"/>
          <w:lang w:val="fr-CA"/>
        </w:rPr>
      </w:pPr>
      <w:r>
        <w:rPr>
          <w:rFonts w:ascii="Arial" w:hAnsi="Arial" w:cs="Arial"/>
          <w:b/>
          <w:sz w:val="28"/>
          <w:szCs w:val="28"/>
          <w:lang w:val="fr-CA"/>
        </w:rPr>
        <w:t xml:space="preserve">Énoncé de politique </w:t>
      </w:r>
    </w:p>
    <w:p w:rsidR="00BF1A1F" w:rsidRDefault="00B24A58" w:rsidP="00B21798">
      <w:pPr>
        <w:spacing w:line="240" w:lineRule="auto"/>
        <w:rPr>
          <w:rFonts w:ascii="Arial" w:hAnsi="Arial" w:cs="Arial"/>
          <w:sz w:val="24"/>
          <w:szCs w:val="24"/>
          <w:lang w:val="fr-CA"/>
        </w:rPr>
      </w:pPr>
      <w:r>
        <w:rPr>
          <w:rFonts w:ascii="Arial" w:hAnsi="Arial" w:cs="Arial"/>
          <w:sz w:val="24"/>
          <w:szCs w:val="24"/>
          <w:lang w:val="fr-CA"/>
        </w:rPr>
        <w:t>Au (</w:t>
      </w:r>
      <w:r w:rsidRPr="00B24A58">
        <w:rPr>
          <w:rFonts w:ascii="Arial" w:hAnsi="Arial" w:cs="Arial"/>
          <w:i/>
          <w:sz w:val="24"/>
          <w:szCs w:val="24"/>
          <w:lang w:val="fr-CA"/>
        </w:rPr>
        <w:t>nom du conseil scolaire</w:t>
      </w:r>
      <w:r>
        <w:rPr>
          <w:rFonts w:ascii="Arial" w:hAnsi="Arial" w:cs="Arial"/>
          <w:sz w:val="24"/>
          <w:szCs w:val="24"/>
          <w:lang w:val="fr-CA"/>
        </w:rPr>
        <w:t>), nous avons pour politique d’offrir, dans toutes nos installations, un milieu qui favorise l’autonomie, la dignité et le respect de</w:t>
      </w:r>
      <w:r w:rsidR="00BF1A1F">
        <w:rPr>
          <w:rFonts w:ascii="Arial" w:hAnsi="Arial" w:cs="Arial"/>
          <w:sz w:val="24"/>
          <w:szCs w:val="24"/>
          <w:lang w:val="fr-CA"/>
        </w:rPr>
        <w:t xml:space="preserve"> toute</w:t>
      </w:r>
      <w:r>
        <w:rPr>
          <w:rFonts w:ascii="Arial" w:hAnsi="Arial" w:cs="Arial"/>
          <w:sz w:val="24"/>
          <w:szCs w:val="24"/>
          <w:lang w:val="fr-CA"/>
        </w:rPr>
        <w:t>s</w:t>
      </w:r>
      <w:r w:rsidR="00BF1A1F">
        <w:rPr>
          <w:rFonts w:ascii="Arial" w:hAnsi="Arial" w:cs="Arial"/>
          <w:sz w:val="24"/>
          <w:szCs w:val="24"/>
          <w:lang w:val="fr-CA"/>
        </w:rPr>
        <w:t xml:space="preserve"> les</w:t>
      </w:r>
      <w:r>
        <w:rPr>
          <w:rFonts w:ascii="Arial" w:hAnsi="Arial" w:cs="Arial"/>
          <w:sz w:val="24"/>
          <w:szCs w:val="24"/>
          <w:lang w:val="fr-CA"/>
        </w:rPr>
        <w:t xml:space="preserve"> personnes. Nous nous engageons à fournir des services</w:t>
      </w:r>
      <w:r w:rsidR="00B21798" w:rsidRPr="005C7125">
        <w:rPr>
          <w:rFonts w:ascii="Arial" w:hAnsi="Arial" w:cs="Arial"/>
          <w:sz w:val="24"/>
          <w:szCs w:val="24"/>
          <w:lang w:val="fr-CA"/>
        </w:rPr>
        <w:t xml:space="preserve"> </w:t>
      </w:r>
      <w:r>
        <w:rPr>
          <w:rFonts w:ascii="Arial" w:hAnsi="Arial" w:cs="Arial"/>
          <w:sz w:val="24"/>
          <w:szCs w:val="24"/>
          <w:lang w:val="fr-CA"/>
        </w:rPr>
        <w:t>libres de tout obstacle ou parti pris à nos élèves, à leurs parents ou tuteurs</w:t>
      </w:r>
      <w:r w:rsidR="000D2C54">
        <w:rPr>
          <w:rFonts w:ascii="Arial" w:hAnsi="Arial" w:cs="Arial"/>
          <w:sz w:val="24"/>
          <w:szCs w:val="24"/>
          <w:lang w:val="fr-CA"/>
        </w:rPr>
        <w:t xml:space="preserve"> et tutrices</w:t>
      </w:r>
      <w:r>
        <w:rPr>
          <w:rFonts w:ascii="Arial" w:hAnsi="Arial" w:cs="Arial"/>
          <w:sz w:val="24"/>
          <w:szCs w:val="24"/>
          <w:lang w:val="fr-CA"/>
        </w:rPr>
        <w:t xml:space="preserve">, au public et à notre personnel. Nous </w:t>
      </w:r>
      <w:r w:rsidR="00BF1A1F">
        <w:rPr>
          <w:rFonts w:ascii="Arial" w:hAnsi="Arial" w:cs="Arial"/>
          <w:sz w:val="24"/>
          <w:szCs w:val="24"/>
          <w:lang w:val="fr-CA"/>
        </w:rPr>
        <w:t xml:space="preserve">veillons </w:t>
      </w:r>
      <w:r w:rsidR="00747E51">
        <w:rPr>
          <w:rFonts w:ascii="Arial" w:hAnsi="Arial" w:cs="Arial"/>
          <w:sz w:val="24"/>
          <w:szCs w:val="24"/>
          <w:lang w:val="fr-CA"/>
        </w:rPr>
        <w:t xml:space="preserve">à faire en sorte que le principe de </w:t>
      </w:r>
      <w:r w:rsidR="00BF1A1F">
        <w:rPr>
          <w:rFonts w:ascii="Arial" w:hAnsi="Arial" w:cs="Arial"/>
          <w:sz w:val="24"/>
          <w:szCs w:val="24"/>
          <w:lang w:val="fr-CA"/>
        </w:rPr>
        <w:t xml:space="preserve">l’égalité des chances soit </w:t>
      </w:r>
      <w:r w:rsidR="00332A57">
        <w:rPr>
          <w:rFonts w:ascii="Arial" w:hAnsi="Arial" w:cs="Arial"/>
          <w:sz w:val="24"/>
          <w:szCs w:val="24"/>
          <w:lang w:val="fr-CA"/>
        </w:rPr>
        <w:t xml:space="preserve">mis en œuvre </w:t>
      </w:r>
      <w:r w:rsidR="00BF1A1F">
        <w:rPr>
          <w:rFonts w:ascii="Arial" w:hAnsi="Arial" w:cs="Arial"/>
          <w:sz w:val="24"/>
          <w:szCs w:val="24"/>
          <w:lang w:val="fr-CA"/>
        </w:rPr>
        <w:t>et valorisé dans nos milieux d’apprentissage et de travail. Notre conduite témoignera de notre conviction que la diversité renforce nos communautés.</w:t>
      </w:r>
      <w:r w:rsidR="00CC4159">
        <w:rPr>
          <w:rFonts w:ascii="Arial" w:hAnsi="Arial" w:cs="Arial"/>
          <w:sz w:val="24"/>
          <w:szCs w:val="24"/>
          <w:lang w:val="fr-CA"/>
        </w:rPr>
        <w:t xml:space="preserve"> </w:t>
      </w:r>
    </w:p>
    <w:p w:rsidR="00CC4159" w:rsidRDefault="00BF1A1F" w:rsidP="00034BCD">
      <w:pPr>
        <w:spacing w:line="240" w:lineRule="auto"/>
        <w:rPr>
          <w:rFonts w:ascii="Arial" w:hAnsi="Arial" w:cs="Arial"/>
          <w:sz w:val="24"/>
          <w:szCs w:val="24"/>
          <w:lang w:val="fr-CA"/>
        </w:rPr>
      </w:pPr>
      <w:r>
        <w:rPr>
          <w:rFonts w:ascii="Arial" w:hAnsi="Arial" w:cs="Arial"/>
          <w:sz w:val="24"/>
          <w:szCs w:val="24"/>
          <w:lang w:val="fr-CA"/>
        </w:rPr>
        <w:t>Nous nous engageons à faire en sorte que les personnes handicapées aient le même accès à nos services que toutes les autres personnes</w:t>
      </w:r>
      <w:r w:rsidR="00CC4159">
        <w:rPr>
          <w:rFonts w:ascii="Arial" w:hAnsi="Arial" w:cs="Arial"/>
          <w:sz w:val="24"/>
          <w:szCs w:val="24"/>
          <w:lang w:val="fr-CA"/>
        </w:rPr>
        <w:t xml:space="preserve"> à qui nous les fournissons.</w:t>
      </w:r>
      <w:r w:rsidR="00694828" w:rsidRPr="005C7125">
        <w:rPr>
          <w:rFonts w:ascii="Arial" w:hAnsi="Arial" w:cs="Arial"/>
          <w:sz w:val="24"/>
          <w:szCs w:val="24"/>
          <w:lang w:val="fr-CA"/>
        </w:rPr>
        <w:t xml:space="preserve"> </w:t>
      </w:r>
      <w:r w:rsidR="00CC4159">
        <w:rPr>
          <w:rFonts w:ascii="Arial" w:hAnsi="Arial" w:cs="Arial"/>
          <w:sz w:val="24"/>
          <w:szCs w:val="24"/>
          <w:lang w:val="fr-CA"/>
        </w:rPr>
        <w:t xml:space="preserve">Nous sommes résolus à répondre </w:t>
      </w:r>
      <w:r w:rsidR="0088489A">
        <w:rPr>
          <w:rFonts w:ascii="Arial" w:hAnsi="Arial" w:cs="Arial"/>
          <w:sz w:val="24"/>
          <w:szCs w:val="24"/>
          <w:lang w:val="fr-CA"/>
        </w:rPr>
        <w:t>en temps opportun</w:t>
      </w:r>
      <w:r w:rsidR="00CC4159">
        <w:rPr>
          <w:rFonts w:ascii="Arial" w:hAnsi="Arial" w:cs="Arial"/>
          <w:sz w:val="24"/>
          <w:szCs w:val="24"/>
          <w:lang w:val="fr-CA"/>
        </w:rPr>
        <w:t xml:space="preserve"> aux besoins des personnes handicapées en matière d’accessibilité, notamment en ce qui concerne </w:t>
      </w:r>
      <w:r w:rsidR="002356A0">
        <w:rPr>
          <w:rFonts w:ascii="Arial" w:hAnsi="Arial" w:cs="Arial"/>
          <w:sz w:val="24"/>
          <w:szCs w:val="24"/>
          <w:lang w:val="fr-CA"/>
        </w:rPr>
        <w:t xml:space="preserve">la prestation de services liés à </w:t>
      </w:r>
      <w:r w:rsidR="00CC4159">
        <w:rPr>
          <w:rFonts w:ascii="Arial" w:hAnsi="Arial" w:cs="Arial"/>
          <w:sz w:val="24"/>
          <w:szCs w:val="24"/>
          <w:lang w:val="fr-CA"/>
        </w:rPr>
        <w:t xml:space="preserve">l’information et </w:t>
      </w:r>
      <w:r w:rsidR="002356A0">
        <w:rPr>
          <w:rFonts w:ascii="Arial" w:hAnsi="Arial" w:cs="Arial"/>
          <w:sz w:val="24"/>
          <w:szCs w:val="24"/>
          <w:lang w:val="fr-CA"/>
        </w:rPr>
        <w:t xml:space="preserve">aux </w:t>
      </w:r>
      <w:r w:rsidR="00CC4159">
        <w:rPr>
          <w:rFonts w:ascii="Arial" w:hAnsi="Arial" w:cs="Arial"/>
          <w:sz w:val="24"/>
          <w:szCs w:val="24"/>
          <w:lang w:val="fr-CA"/>
        </w:rPr>
        <w:t xml:space="preserve">communications, </w:t>
      </w:r>
      <w:r w:rsidR="002356A0">
        <w:rPr>
          <w:rFonts w:ascii="Arial" w:hAnsi="Arial" w:cs="Arial"/>
          <w:sz w:val="24"/>
          <w:szCs w:val="24"/>
          <w:lang w:val="fr-CA"/>
        </w:rPr>
        <w:t xml:space="preserve">à </w:t>
      </w:r>
      <w:r w:rsidR="00CC4159">
        <w:rPr>
          <w:rFonts w:ascii="Arial" w:hAnsi="Arial" w:cs="Arial"/>
          <w:sz w:val="24"/>
          <w:szCs w:val="24"/>
          <w:lang w:val="fr-CA"/>
        </w:rPr>
        <w:t xml:space="preserve">l’emploi et </w:t>
      </w:r>
      <w:r w:rsidR="002356A0">
        <w:rPr>
          <w:rFonts w:ascii="Arial" w:hAnsi="Arial" w:cs="Arial"/>
          <w:sz w:val="24"/>
          <w:szCs w:val="24"/>
          <w:lang w:val="fr-CA"/>
        </w:rPr>
        <w:t xml:space="preserve">au </w:t>
      </w:r>
      <w:r w:rsidR="00CC4159">
        <w:rPr>
          <w:rFonts w:ascii="Arial" w:hAnsi="Arial" w:cs="Arial"/>
          <w:sz w:val="24"/>
          <w:szCs w:val="24"/>
          <w:lang w:val="fr-CA"/>
        </w:rPr>
        <w:t xml:space="preserve">transport scolaire. </w:t>
      </w:r>
    </w:p>
    <w:p w:rsidR="00833044" w:rsidRPr="005C7125" w:rsidRDefault="00CC4159" w:rsidP="00034BCD">
      <w:pPr>
        <w:spacing w:before="600" w:after="100"/>
        <w:rPr>
          <w:rFonts w:ascii="Arial" w:hAnsi="Arial" w:cs="Arial"/>
          <w:b/>
          <w:sz w:val="28"/>
          <w:szCs w:val="28"/>
          <w:lang w:val="fr-CA"/>
        </w:rPr>
      </w:pPr>
      <w:r>
        <w:rPr>
          <w:rFonts w:ascii="Arial" w:hAnsi="Arial" w:cs="Arial"/>
          <w:b/>
          <w:sz w:val="28"/>
          <w:szCs w:val="28"/>
          <w:lang w:val="fr-CA"/>
        </w:rPr>
        <w:t xml:space="preserve">Cadre juridique </w:t>
      </w:r>
    </w:p>
    <w:p w:rsidR="006F6DAF" w:rsidRPr="00CC4159" w:rsidRDefault="00CC4159" w:rsidP="00034BCD">
      <w:pPr>
        <w:spacing w:line="240" w:lineRule="auto"/>
        <w:rPr>
          <w:rFonts w:ascii="Arial" w:hAnsi="Arial" w:cs="Arial"/>
          <w:i/>
          <w:sz w:val="24"/>
          <w:szCs w:val="24"/>
          <w:lang w:val="fr-CA"/>
        </w:rPr>
      </w:pPr>
      <w:r w:rsidRPr="00CC4159">
        <w:rPr>
          <w:rFonts w:ascii="Arial" w:hAnsi="Arial" w:cs="Arial"/>
          <w:i/>
          <w:sz w:val="24"/>
          <w:szCs w:val="24"/>
          <w:lang w:val="fr-CA"/>
        </w:rPr>
        <w:t xml:space="preserve">Loi de 2005 sur l’accessibilité pour les personnes handicapées de l’Ontario </w:t>
      </w:r>
    </w:p>
    <w:p w:rsidR="006F6DAF" w:rsidRPr="005C7125" w:rsidRDefault="00CC4159" w:rsidP="00034BCD">
      <w:pPr>
        <w:spacing w:line="240" w:lineRule="auto"/>
        <w:rPr>
          <w:rFonts w:ascii="Arial" w:hAnsi="Arial" w:cs="Arial"/>
          <w:sz w:val="24"/>
          <w:szCs w:val="24"/>
          <w:lang w:val="fr-CA"/>
        </w:rPr>
      </w:pPr>
      <w:r>
        <w:rPr>
          <w:rFonts w:ascii="Arial" w:hAnsi="Arial" w:cs="Arial"/>
          <w:sz w:val="24"/>
          <w:szCs w:val="24"/>
          <w:lang w:val="fr-CA"/>
        </w:rPr>
        <w:t xml:space="preserve">Règlement de l’Ontario </w:t>
      </w:r>
      <w:r w:rsidRPr="005C7125">
        <w:rPr>
          <w:rFonts w:ascii="Arial" w:hAnsi="Arial" w:cs="Arial"/>
          <w:sz w:val="24"/>
          <w:szCs w:val="24"/>
          <w:lang w:val="fr-CA"/>
        </w:rPr>
        <w:t>429/07</w:t>
      </w:r>
      <w:r>
        <w:rPr>
          <w:rFonts w:ascii="Arial" w:hAnsi="Arial" w:cs="Arial"/>
          <w:sz w:val="24"/>
          <w:szCs w:val="24"/>
          <w:lang w:val="fr-CA"/>
        </w:rPr>
        <w:t xml:space="preserve">, </w:t>
      </w:r>
      <w:r w:rsidRPr="00CC4159">
        <w:rPr>
          <w:rFonts w:ascii="Arial" w:hAnsi="Arial" w:cs="Arial"/>
          <w:i/>
          <w:sz w:val="24"/>
          <w:szCs w:val="24"/>
          <w:lang w:val="fr-CA"/>
        </w:rPr>
        <w:t>Normes d’accessibilité pour les services à la clientèle</w:t>
      </w:r>
      <w:r w:rsidR="006F6DAF" w:rsidRPr="005C7125">
        <w:rPr>
          <w:rFonts w:ascii="Arial" w:hAnsi="Arial" w:cs="Arial"/>
          <w:sz w:val="24"/>
          <w:szCs w:val="24"/>
          <w:lang w:val="fr-CA"/>
        </w:rPr>
        <w:t xml:space="preserve"> </w:t>
      </w:r>
    </w:p>
    <w:p w:rsidR="00CC4159" w:rsidRPr="005C7125" w:rsidRDefault="00CC4159" w:rsidP="00034BCD">
      <w:pPr>
        <w:spacing w:line="240" w:lineRule="auto"/>
        <w:rPr>
          <w:rFonts w:ascii="Arial" w:hAnsi="Arial" w:cs="Arial"/>
          <w:sz w:val="24"/>
          <w:szCs w:val="24"/>
          <w:lang w:val="fr-CA"/>
        </w:rPr>
      </w:pPr>
      <w:r>
        <w:rPr>
          <w:rFonts w:ascii="Arial" w:hAnsi="Arial" w:cs="Arial"/>
          <w:sz w:val="24"/>
          <w:szCs w:val="24"/>
          <w:lang w:val="fr-CA"/>
        </w:rPr>
        <w:t xml:space="preserve">Règlement de l’Ontario </w:t>
      </w:r>
      <w:r w:rsidRPr="005C7125">
        <w:rPr>
          <w:rFonts w:ascii="Arial" w:hAnsi="Arial" w:cs="Arial"/>
          <w:sz w:val="24"/>
          <w:szCs w:val="24"/>
          <w:lang w:val="fr-CA"/>
        </w:rPr>
        <w:t>191/11</w:t>
      </w:r>
      <w:r>
        <w:rPr>
          <w:rFonts w:ascii="Arial" w:hAnsi="Arial" w:cs="Arial"/>
          <w:sz w:val="24"/>
          <w:szCs w:val="24"/>
          <w:lang w:val="fr-CA"/>
        </w:rPr>
        <w:t xml:space="preserve">, </w:t>
      </w:r>
      <w:r w:rsidRPr="00CC4159">
        <w:rPr>
          <w:rFonts w:ascii="Arial" w:hAnsi="Arial" w:cs="Arial"/>
          <w:i/>
          <w:sz w:val="24"/>
          <w:szCs w:val="24"/>
          <w:lang w:val="fr-CA"/>
        </w:rPr>
        <w:t xml:space="preserve">Normes d’accessibilité </w:t>
      </w:r>
      <w:r>
        <w:rPr>
          <w:rFonts w:ascii="Arial" w:hAnsi="Arial" w:cs="Arial"/>
          <w:i/>
          <w:sz w:val="24"/>
          <w:szCs w:val="24"/>
          <w:lang w:val="fr-CA"/>
        </w:rPr>
        <w:t xml:space="preserve">intégrées </w:t>
      </w:r>
    </w:p>
    <w:p w:rsidR="006F6DAF" w:rsidRPr="005C7125" w:rsidRDefault="00CC4159" w:rsidP="00034BCD">
      <w:pPr>
        <w:spacing w:line="240" w:lineRule="auto"/>
        <w:rPr>
          <w:rFonts w:ascii="Arial" w:hAnsi="Arial" w:cs="Arial"/>
          <w:sz w:val="24"/>
          <w:szCs w:val="24"/>
          <w:lang w:val="fr-CA"/>
        </w:rPr>
      </w:pPr>
      <w:r w:rsidRPr="00CC4159">
        <w:rPr>
          <w:rFonts w:ascii="Arial" w:hAnsi="Arial" w:cs="Arial"/>
          <w:i/>
          <w:sz w:val="24"/>
          <w:szCs w:val="24"/>
          <w:lang w:val="fr-CA"/>
        </w:rPr>
        <w:t>Code des droits de la personne</w:t>
      </w:r>
      <w:r>
        <w:rPr>
          <w:rFonts w:ascii="Arial" w:hAnsi="Arial" w:cs="Arial"/>
          <w:sz w:val="24"/>
          <w:szCs w:val="24"/>
          <w:lang w:val="fr-CA"/>
        </w:rPr>
        <w:t xml:space="preserve"> de l’</w:t>
      </w:r>
      <w:r w:rsidR="006F6DAF" w:rsidRPr="005C7125">
        <w:rPr>
          <w:rFonts w:ascii="Arial" w:hAnsi="Arial" w:cs="Arial"/>
          <w:sz w:val="24"/>
          <w:szCs w:val="24"/>
          <w:lang w:val="fr-CA"/>
        </w:rPr>
        <w:t xml:space="preserve">Ontario </w:t>
      </w:r>
    </w:p>
    <w:p w:rsidR="0038452B" w:rsidRPr="00034BCD" w:rsidRDefault="00034BCD" w:rsidP="00034BCD">
      <w:pPr>
        <w:spacing w:line="240" w:lineRule="auto"/>
        <w:rPr>
          <w:rFonts w:ascii="Arial" w:hAnsi="Arial" w:cs="Arial"/>
          <w:i/>
          <w:sz w:val="24"/>
          <w:szCs w:val="24"/>
          <w:lang w:val="fr-CA"/>
        </w:rPr>
      </w:pPr>
      <w:r w:rsidRPr="00034BCD">
        <w:rPr>
          <w:rFonts w:ascii="Arial" w:hAnsi="Arial" w:cs="Arial"/>
          <w:i/>
          <w:sz w:val="24"/>
          <w:szCs w:val="24"/>
          <w:lang w:val="fr-CA"/>
        </w:rPr>
        <w:t>Loi de 2001 sur les personnes handicapées de l’</w:t>
      </w:r>
      <w:r w:rsidR="0038452B" w:rsidRPr="00034BCD">
        <w:rPr>
          <w:rFonts w:ascii="Arial" w:hAnsi="Arial" w:cs="Arial"/>
          <w:i/>
          <w:sz w:val="24"/>
          <w:szCs w:val="24"/>
          <w:lang w:val="fr-CA"/>
        </w:rPr>
        <w:t>Ontari</w:t>
      </w:r>
      <w:r w:rsidRPr="00034BCD">
        <w:rPr>
          <w:rFonts w:ascii="Arial" w:hAnsi="Arial" w:cs="Arial"/>
          <w:i/>
          <w:sz w:val="24"/>
          <w:szCs w:val="24"/>
          <w:lang w:val="fr-CA"/>
        </w:rPr>
        <w:t xml:space="preserve">o </w:t>
      </w:r>
    </w:p>
    <w:p w:rsidR="006F6DAF" w:rsidRPr="005C7125" w:rsidRDefault="00034BCD" w:rsidP="00034BCD">
      <w:pPr>
        <w:spacing w:before="600" w:after="100"/>
        <w:rPr>
          <w:rFonts w:ascii="Arial" w:hAnsi="Arial" w:cs="Arial"/>
          <w:b/>
          <w:sz w:val="28"/>
          <w:szCs w:val="28"/>
          <w:lang w:val="fr-CA"/>
        </w:rPr>
      </w:pPr>
      <w:r>
        <w:rPr>
          <w:rFonts w:ascii="Arial" w:hAnsi="Arial" w:cs="Arial"/>
          <w:b/>
          <w:sz w:val="28"/>
          <w:szCs w:val="28"/>
          <w:lang w:val="fr-CA"/>
        </w:rPr>
        <w:t xml:space="preserve">Renvois </w:t>
      </w:r>
    </w:p>
    <w:p w:rsidR="006F6DAF" w:rsidRPr="005C7125" w:rsidRDefault="00034BCD" w:rsidP="00034BCD">
      <w:pPr>
        <w:spacing w:line="240" w:lineRule="auto"/>
        <w:rPr>
          <w:rFonts w:ascii="Arial" w:hAnsi="Arial" w:cs="Arial"/>
          <w:sz w:val="24"/>
          <w:szCs w:val="24"/>
          <w:lang w:val="fr-CA"/>
        </w:rPr>
      </w:pPr>
      <w:r>
        <w:rPr>
          <w:rFonts w:ascii="Arial" w:hAnsi="Arial" w:cs="Arial"/>
          <w:sz w:val="24"/>
          <w:szCs w:val="24"/>
          <w:lang w:val="fr-CA"/>
        </w:rPr>
        <w:t xml:space="preserve">Chaque conseil devrait prendre les moyens voulus pour incorporer des renvois à ses autres politiques et directives administratives, comme les suivantes : </w:t>
      </w:r>
    </w:p>
    <w:p w:rsidR="006F6DAF" w:rsidRPr="005C7125" w:rsidRDefault="00034BCD" w:rsidP="00034BCD">
      <w:pPr>
        <w:spacing w:line="240" w:lineRule="auto"/>
        <w:rPr>
          <w:rFonts w:ascii="Arial" w:hAnsi="Arial" w:cs="Arial"/>
          <w:sz w:val="24"/>
          <w:szCs w:val="24"/>
          <w:lang w:val="fr-CA"/>
        </w:rPr>
      </w:pPr>
      <w:r>
        <w:rPr>
          <w:rFonts w:ascii="Arial" w:hAnsi="Arial" w:cs="Arial"/>
          <w:sz w:val="24"/>
          <w:szCs w:val="24"/>
          <w:lang w:val="fr-CA"/>
        </w:rPr>
        <w:t xml:space="preserve">Plan d’accessibilité du conseil </w:t>
      </w:r>
    </w:p>
    <w:p w:rsidR="006F6DAF" w:rsidRPr="005C7125" w:rsidRDefault="00034BCD" w:rsidP="00034BCD">
      <w:pPr>
        <w:spacing w:line="240" w:lineRule="auto"/>
        <w:rPr>
          <w:rFonts w:ascii="Arial" w:hAnsi="Arial" w:cs="Arial"/>
          <w:sz w:val="24"/>
          <w:szCs w:val="24"/>
          <w:lang w:val="fr-CA"/>
        </w:rPr>
      </w:pPr>
      <w:r>
        <w:rPr>
          <w:rFonts w:ascii="Arial" w:hAnsi="Arial" w:cs="Arial"/>
          <w:sz w:val="24"/>
          <w:szCs w:val="24"/>
          <w:lang w:val="fr-CA"/>
        </w:rPr>
        <w:t xml:space="preserve">Politiques en matière d’équité </w:t>
      </w:r>
    </w:p>
    <w:p w:rsidR="006F6DAF" w:rsidRPr="005C7125" w:rsidRDefault="00034BCD" w:rsidP="00034BCD">
      <w:pPr>
        <w:spacing w:line="240" w:lineRule="auto"/>
        <w:rPr>
          <w:rFonts w:ascii="Arial" w:hAnsi="Arial" w:cs="Arial"/>
          <w:sz w:val="24"/>
          <w:szCs w:val="24"/>
          <w:lang w:val="fr-CA"/>
        </w:rPr>
      </w:pPr>
      <w:r>
        <w:rPr>
          <w:rFonts w:ascii="Arial" w:hAnsi="Arial" w:cs="Arial"/>
          <w:sz w:val="24"/>
          <w:szCs w:val="24"/>
          <w:lang w:val="fr-CA"/>
        </w:rPr>
        <w:t>Directives administratives établies pour mettre en application des éléments de la présente politique</w:t>
      </w:r>
    </w:p>
    <w:sectPr w:rsidR="006F6DAF" w:rsidRPr="005C7125" w:rsidSect="0083304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08" w:rsidRDefault="00565908" w:rsidP="0038228C">
      <w:pPr>
        <w:spacing w:after="0" w:line="240" w:lineRule="auto"/>
      </w:pPr>
      <w:r>
        <w:separator/>
      </w:r>
    </w:p>
  </w:endnote>
  <w:endnote w:type="continuationSeparator" w:id="0">
    <w:p w:rsidR="00565908" w:rsidRDefault="00565908" w:rsidP="0038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A" w:rsidRDefault="00AA7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A" w:rsidRDefault="00AA7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A" w:rsidRDefault="00AA7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08" w:rsidRDefault="00565908" w:rsidP="0038228C">
      <w:pPr>
        <w:spacing w:after="0" w:line="240" w:lineRule="auto"/>
      </w:pPr>
      <w:r>
        <w:separator/>
      </w:r>
    </w:p>
  </w:footnote>
  <w:footnote w:type="continuationSeparator" w:id="0">
    <w:p w:rsidR="00565908" w:rsidRDefault="00565908" w:rsidP="00382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A" w:rsidRDefault="00AA7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A" w:rsidRDefault="00AA7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FA" w:rsidRDefault="00AA7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EF7"/>
    <w:multiLevelType w:val="hybridMultilevel"/>
    <w:tmpl w:val="79E6D79E"/>
    <w:lvl w:ilvl="0" w:tplc="59C2D06A">
      <w:start w:val="1"/>
      <w:numFmt w:val="decimal"/>
      <w:lvlText w:val="%1."/>
      <w:lvlJc w:val="left"/>
      <w:pPr>
        <w:ind w:left="720" w:hanging="360"/>
      </w:pPr>
      <w:rPr>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44"/>
    <w:rsid w:val="00034BCD"/>
    <w:rsid w:val="00077BA1"/>
    <w:rsid w:val="000D2C54"/>
    <w:rsid w:val="00103C4C"/>
    <w:rsid w:val="00114796"/>
    <w:rsid w:val="00184FEF"/>
    <w:rsid w:val="001B2897"/>
    <w:rsid w:val="001B35F9"/>
    <w:rsid w:val="001B64B4"/>
    <w:rsid w:val="002356A0"/>
    <w:rsid w:val="002438B0"/>
    <w:rsid w:val="00247495"/>
    <w:rsid w:val="00332A57"/>
    <w:rsid w:val="00342043"/>
    <w:rsid w:val="003571C0"/>
    <w:rsid w:val="0038228C"/>
    <w:rsid w:val="0038452B"/>
    <w:rsid w:val="00390931"/>
    <w:rsid w:val="003A7D1D"/>
    <w:rsid w:val="003F78CA"/>
    <w:rsid w:val="004C59A0"/>
    <w:rsid w:val="004F2382"/>
    <w:rsid w:val="00565908"/>
    <w:rsid w:val="005A12A3"/>
    <w:rsid w:val="005C7125"/>
    <w:rsid w:val="00611179"/>
    <w:rsid w:val="006453B7"/>
    <w:rsid w:val="00645E75"/>
    <w:rsid w:val="00690D8E"/>
    <w:rsid w:val="00694828"/>
    <w:rsid w:val="006F6DAF"/>
    <w:rsid w:val="00701D04"/>
    <w:rsid w:val="00747E51"/>
    <w:rsid w:val="00751B86"/>
    <w:rsid w:val="00831A10"/>
    <w:rsid w:val="00833044"/>
    <w:rsid w:val="00847DDF"/>
    <w:rsid w:val="00877E0C"/>
    <w:rsid w:val="0088489A"/>
    <w:rsid w:val="008B2ECA"/>
    <w:rsid w:val="008D5100"/>
    <w:rsid w:val="008E06DD"/>
    <w:rsid w:val="008F316F"/>
    <w:rsid w:val="009242C7"/>
    <w:rsid w:val="00961437"/>
    <w:rsid w:val="0097280D"/>
    <w:rsid w:val="009B753F"/>
    <w:rsid w:val="009E262A"/>
    <w:rsid w:val="00A41A0C"/>
    <w:rsid w:val="00A603BD"/>
    <w:rsid w:val="00A7465F"/>
    <w:rsid w:val="00A8120F"/>
    <w:rsid w:val="00AA75FA"/>
    <w:rsid w:val="00AD6E7C"/>
    <w:rsid w:val="00AF0C1B"/>
    <w:rsid w:val="00B105FE"/>
    <w:rsid w:val="00B21798"/>
    <w:rsid w:val="00B24A58"/>
    <w:rsid w:val="00B35FB1"/>
    <w:rsid w:val="00B43351"/>
    <w:rsid w:val="00B940A2"/>
    <w:rsid w:val="00B97F94"/>
    <w:rsid w:val="00BA26E2"/>
    <w:rsid w:val="00BD7CDE"/>
    <w:rsid w:val="00BF0939"/>
    <w:rsid w:val="00BF1A1F"/>
    <w:rsid w:val="00C01253"/>
    <w:rsid w:val="00C450DC"/>
    <w:rsid w:val="00CA63A5"/>
    <w:rsid w:val="00CC4159"/>
    <w:rsid w:val="00CF36CE"/>
    <w:rsid w:val="00D06344"/>
    <w:rsid w:val="00DA5759"/>
    <w:rsid w:val="00E05BF3"/>
    <w:rsid w:val="00E802FD"/>
    <w:rsid w:val="00EA5295"/>
    <w:rsid w:val="00EB5C80"/>
    <w:rsid w:val="00EC74C6"/>
    <w:rsid w:val="00F425E0"/>
    <w:rsid w:val="00F42666"/>
    <w:rsid w:val="00F45816"/>
    <w:rsid w:val="00F643F6"/>
    <w:rsid w:val="00F92AF8"/>
    <w:rsid w:val="00FD65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8E"/>
    <w:pPr>
      <w:spacing w:after="200" w:line="276" w:lineRule="auto"/>
    </w:pPr>
    <w:rPr>
      <w:sz w:val="22"/>
      <w:szCs w:val="22"/>
      <w:lang w:val="en-CA" w:eastAsia="en-US"/>
    </w:rPr>
  </w:style>
  <w:style w:type="paragraph" w:styleId="Heading1">
    <w:name w:val="heading 1"/>
    <w:basedOn w:val="Normal"/>
    <w:next w:val="Normal"/>
    <w:link w:val="Heading1Char"/>
    <w:uiPriority w:val="9"/>
    <w:qFormat/>
    <w:rsid w:val="0083304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3044"/>
    <w:rPr>
      <w:rFonts w:ascii="Cambria" w:eastAsia="Times New Roman" w:hAnsi="Cambria" w:cs="Times New Roman"/>
      <w:b/>
      <w:bCs/>
      <w:color w:val="365F91"/>
      <w:sz w:val="28"/>
      <w:szCs w:val="28"/>
    </w:rPr>
  </w:style>
  <w:style w:type="paragraph" w:styleId="ListParagraph">
    <w:name w:val="List Paragraph"/>
    <w:basedOn w:val="Normal"/>
    <w:uiPriority w:val="34"/>
    <w:qFormat/>
    <w:rsid w:val="002438B0"/>
    <w:pPr>
      <w:ind w:left="720"/>
      <w:contextualSpacing/>
    </w:pPr>
  </w:style>
  <w:style w:type="paragraph" w:styleId="BalloonText">
    <w:name w:val="Balloon Text"/>
    <w:basedOn w:val="Normal"/>
    <w:link w:val="BalloonTextChar"/>
    <w:uiPriority w:val="99"/>
    <w:semiHidden/>
    <w:unhideWhenUsed/>
    <w:rsid w:val="00961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437"/>
    <w:rPr>
      <w:rFonts w:ascii="Tahoma" w:hAnsi="Tahoma" w:cs="Tahoma"/>
      <w:sz w:val="16"/>
      <w:szCs w:val="16"/>
      <w:lang w:eastAsia="en-US"/>
    </w:rPr>
  </w:style>
  <w:style w:type="paragraph" w:styleId="Header">
    <w:name w:val="header"/>
    <w:basedOn w:val="Normal"/>
    <w:link w:val="HeaderChar"/>
    <w:uiPriority w:val="99"/>
    <w:unhideWhenUsed/>
    <w:rsid w:val="0038228C"/>
    <w:pPr>
      <w:tabs>
        <w:tab w:val="center" w:pos="4680"/>
        <w:tab w:val="right" w:pos="9360"/>
      </w:tabs>
    </w:pPr>
  </w:style>
  <w:style w:type="character" w:customStyle="1" w:styleId="HeaderChar">
    <w:name w:val="Header Char"/>
    <w:link w:val="Header"/>
    <w:uiPriority w:val="99"/>
    <w:rsid w:val="0038228C"/>
    <w:rPr>
      <w:sz w:val="22"/>
      <w:szCs w:val="22"/>
      <w:lang w:eastAsia="en-US"/>
    </w:rPr>
  </w:style>
  <w:style w:type="paragraph" w:styleId="Footer">
    <w:name w:val="footer"/>
    <w:basedOn w:val="Normal"/>
    <w:link w:val="FooterChar"/>
    <w:uiPriority w:val="99"/>
    <w:unhideWhenUsed/>
    <w:rsid w:val="0038228C"/>
    <w:pPr>
      <w:tabs>
        <w:tab w:val="center" w:pos="4680"/>
        <w:tab w:val="right" w:pos="9360"/>
      </w:tabs>
    </w:pPr>
  </w:style>
  <w:style w:type="character" w:customStyle="1" w:styleId="FooterChar">
    <w:name w:val="Footer Char"/>
    <w:link w:val="Footer"/>
    <w:uiPriority w:val="99"/>
    <w:rsid w:val="0038228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D8E"/>
    <w:pPr>
      <w:spacing w:after="200" w:line="276" w:lineRule="auto"/>
    </w:pPr>
    <w:rPr>
      <w:sz w:val="22"/>
      <w:szCs w:val="22"/>
      <w:lang w:val="en-CA" w:eastAsia="en-US"/>
    </w:rPr>
  </w:style>
  <w:style w:type="paragraph" w:styleId="Heading1">
    <w:name w:val="heading 1"/>
    <w:basedOn w:val="Normal"/>
    <w:next w:val="Normal"/>
    <w:link w:val="Heading1Char"/>
    <w:uiPriority w:val="9"/>
    <w:qFormat/>
    <w:rsid w:val="0083304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3044"/>
    <w:rPr>
      <w:rFonts w:ascii="Cambria" w:eastAsia="Times New Roman" w:hAnsi="Cambria" w:cs="Times New Roman"/>
      <w:b/>
      <w:bCs/>
      <w:color w:val="365F91"/>
      <w:sz w:val="28"/>
      <w:szCs w:val="28"/>
    </w:rPr>
  </w:style>
  <w:style w:type="paragraph" w:styleId="ListParagraph">
    <w:name w:val="List Paragraph"/>
    <w:basedOn w:val="Normal"/>
    <w:uiPriority w:val="34"/>
    <w:qFormat/>
    <w:rsid w:val="002438B0"/>
    <w:pPr>
      <w:ind w:left="720"/>
      <w:contextualSpacing/>
    </w:pPr>
  </w:style>
  <w:style w:type="paragraph" w:styleId="BalloonText">
    <w:name w:val="Balloon Text"/>
    <w:basedOn w:val="Normal"/>
    <w:link w:val="BalloonTextChar"/>
    <w:uiPriority w:val="99"/>
    <w:semiHidden/>
    <w:unhideWhenUsed/>
    <w:rsid w:val="00961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61437"/>
    <w:rPr>
      <w:rFonts w:ascii="Tahoma" w:hAnsi="Tahoma" w:cs="Tahoma"/>
      <w:sz w:val="16"/>
      <w:szCs w:val="16"/>
      <w:lang w:eastAsia="en-US"/>
    </w:rPr>
  </w:style>
  <w:style w:type="paragraph" w:styleId="Header">
    <w:name w:val="header"/>
    <w:basedOn w:val="Normal"/>
    <w:link w:val="HeaderChar"/>
    <w:uiPriority w:val="99"/>
    <w:unhideWhenUsed/>
    <w:rsid w:val="0038228C"/>
    <w:pPr>
      <w:tabs>
        <w:tab w:val="center" w:pos="4680"/>
        <w:tab w:val="right" w:pos="9360"/>
      </w:tabs>
    </w:pPr>
  </w:style>
  <w:style w:type="character" w:customStyle="1" w:styleId="HeaderChar">
    <w:name w:val="Header Char"/>
    <w:link w:val="Header"/>
    <w:uiPriority w:val="99"/>
    <w:rsid w:val="0038228C"/>
    <w:rPr>
      <w:sz w:val="22"/>
      <w:szCs w:val="22"/>
      <w:lang w:eastAsia="en-US"/>
    </w:rPr>
  </w:style>
  <w:style w:type="paragraph" w:styleId="Footer">
    <w:name w:val="footer"/>
    <w:basedOn w:val="Normal"/>
    <w:link w:val="FooterChar"/>
    <w:uiPriority w:val="99"/>
    <w:unhideWhenUsed/>
    <w:rsid w:val="0038228C"/>
    <w:pPr>
      <w:tabs>
        <w:tab w:val="center" w:pos="4680"/>
        <w:tab w:val="right" w:pos="9360"/>
      </w:tabs>
    </w:pPr>
  </w:style>
  <w:style w:type="character" w:customStyle="1" w:styleId="FooterChar">
    <w:name w:val="Footer Char"/>
    <w:link w:val="Footer"/>
    <w:uiPriority w:val="99"/>
    <w:rsid w:val="0038228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BB9203D2-B31D-4A1E-ABCB-3E5B4E77CCD8@phub.net.cable.rogers.com"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Props1.xml><?xml version="1.0" encoding="utf-8"?>
<ds:datastoreItem xmlns:ds="http://schemas.openxmlformats.org/officeDocument/2006/customXml" ds:itemID="{F6B4F744-FDBC-49D4-9FAC-A22C4BE6087B}"/>
</file>

<file path=customXml/itemProps2.xml><?xml version="1.0" encoding="utf-8"?>
<ds:datastoreItem xmlns:ds="http://schemas.openxmlformats.org/officeDocument/2006/customXml" ds:itemID="{A59D383F-E41C-43E0-9CA3-49C1B270C637}"/>
</file>

<file path=customXml/itemProps3.xml><?xml version="1.0" encoding="utf-8"?>
<ds:datastoreItem xmlns:ds="http://schemas.openxmlformats.org/officeDocument/2006/customXml" ds:itemID="{A82A236A-C965-4639-963C-D4494DD842DB}"/>
</file>

<file path=customXml/itemProps4.xml><?xml version="1.0" encoding="utf-8"?>
<ds:datastoreItem xmlns:ds="http://schemas.openxmlformats.org/officeDocument/2006/customXml" ds:itemID="{B8AF3DAA-B08E-45ED-83E1-785516B3AE2F}"/>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1505</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Keewatin-Patricia District School Board</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Susan Cook</cp:lastModifiedBy>
  <cp:revision>3</cp:revision>
  <cp:lastPrinted>2012-09-05T14:25:00Z</cp:lastPrinted>
  <dcterms:created xsi:type="dcterms:W3CDTF">2012-10-30T17:49:00Z</dcterms:created>
  <dcterms:modified xsi:type="dcterms:W3CDTF">2012-10-30T18:06:00Z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